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MANJUNATH DAMMALLI</w:t>
            </w:r>
          </w:p>
        </w:tc>
      </w:tr>
    </w:tbl>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Affiliation : Assistant Professor, Dept of Biotechnology, SIT)</w:t>
      </w:r>
    </w:p>
    <w:p w:rsidR="00000000" w:rsidDel="00000000" w:rsidP="00000000" w:rsidRDefault="00000000" w:rsidRPr="00000000" w14:paraId="00000005">
      <w:pPr>
        <w:spacing w:after="0" w:lineRule="auto"/>
        <w:rPr/>
      </w:pPr>
      <w:r w:rsidDel="00000000" w:rsidR="00000000" w:rsidRPr="00000000">
        <w:rPr>
          <w:rtl w:val="0"/>
        </w:rPr>
        <w:t xml:space="preserve">Contact: 9538083502</w:t>
      </w:r>
    </w:p>
    <w:p w:rsidR="00000000" w:rsidDel="00000000" w:rsidP="00000000" w:rsidRDefault="00000000" w:rsidRPr="00000000" w14:paraId="00000006">
      <w:pPr>
        <w:spacing w:after="0" w:lineRule="auto"/>
        <w:rPr/>
      </w:pPr>
      <w:r w:rsidDel="00000000" w:rsidR="00000000" w:rsidRPr="00000000">
        <w:rPr>
          <w:rtl w:val="0"/>
        </w:rPr>
        <w:t xml:space="preserve">Email: manjunathdammalli@sit.ac.in</w:t>
      </w:r>
    </w:p>
    <w:p w:rsidR="00000000" w:rsidDel="00000000" w:rsidP="00000000" w:rsidRDefault="00000000" w:rsidRPr="00000000" w14:paraId="00000007">
      <w:pPr>
        <w:spacing w:after="0" w:lineRule="auto"/>
        <w:rPr/>
      </w:pPr>
      <w:r w:rsidDel="00000000" w:rsidR="00000000" w:rsidRPr="00000000">
        <w:rPr>
          <w:rtl w:val="0"/>
        </w:rPr>
        <w:t xml:space="preserve">Vidwan ID:</w:t>
      </w:r>
      <w:r w:rsidDel="00000000" w:rsidR="00000000" w:rsidRPr="00000000">
        <w:rPr>
          <w:rFonts w:ascii="Arial" w:cs="Arial" w:eastAsia="Arial" w:hAnsi="Arial"/>
          <w:color w:val="000000"/>
          <w:rtl w:val="0"/>
        </w:rPr>
        <w:t xml:space="preserve"> </w:t>
      </w:r>
      <w:r w:rsidDel="00000000" w:rsidR="00000000" w:rsidRPr="00000000">
        <w:rPr>
          <w:rtl w:val="0"/>
        </w:rPr>
        <w:t xml:space="preserve">90761</w:t>
      </w:r>
    </w:p>
    <w:p w:rsidR="00000000" w:rsidDel="00000000" w:rsidP="00000000" w:rsidRDefault="00000000" w:rsidRPr="00000000" w14:paraId="00000008">
      <w:pPr>
        <w:spacing w:after="0" w:lineRule="auto"/>
        <w:rPr/>
      </w:pPr>
      <w:r w:rsidDel="00000000" w:rsidR="00000000" w:rsidRPr="00000000">
        <w:rPr>
          <w:rtl w:val="0"/>
        </w:rPr>
        <w:t xml:space="preserve">Scopus ID: 56287209900</w:t>
      </w:r>
    </w:p>
    <w:p w:rsidR="00000000" w:rsidDel="00000000" w:rsidP="00000000" w:rsidRDefault="00000000" w:rsidRPr="00000000" w14:paraId="00000009">
      <w:pPr>
        <w:spacing w:after="0" w:lineRule="auto"/>
        <w:rPr/>
      </w:pPr>
      <w:r w:rsidDel="00000000" w:rsidR="00000000" w:rsidRPr="00000000">
        <w:rPr>
          <w:rtl w:val="0"/>
        </w:rPr>
        <w:t xml:space="preserve">OrcID:</w:t>
      </w:r>
      <w:r w:rsidDel="00000000" w:rsidR="00000000" w:rsidRPr="00000000">
        <w:rPr>
          <w:rFonts w:ascii="Arial" w:cs="Arial" w:eastAsia="Arial" w:hAnsi="Arial"/>
          <w:color w:val="000000"/>
          <w:rtl w:val="0"/>
        </w:rPr>
        <w:t xml:space="preserve"> </w:t>
      </w:r>
      <w:r w:rsidDel="00000000" w:rsidR="00000000" w:rsidRPr="00000000">
        <w:rPr>
          <w:rtl w:val="0"/>
        </w:rPr>
        <w:t xml:space="preserve">0000-0002-5903-9677</w:t>
      </w:r>
    </w:p>
    <w:p w:rsidR="00000000" w:rsidDel="00000000" w:rsidP="00000000" w:rsidRDefault="00000000" w:rsidRPr="00000000" w14:paraId="0000000A">
      <w:pPr>
        <w:spacing w:after="0" w:lineRule="auto"/>
        <w:rPr/>
      </w:pPr>
      <w:r w:rsidDel="00000000" w:rsidR="00000000" w:rsidRPr="00000000">
        <w:rPr>
          <w:rtl w:val="0"/>
        </w:rPr>
        <w:t xml:space="preserve">Faculty ID:SITN0128</w:t>
      </w:r>
    </w:p>
    <w:tbl>
      <w:tblPr>
        <w:tblStyle w:val="Table2"/>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0B">
            <w:pPr>
              <w:rPr/>
            </w:pPr>
            <w:r w:rsidDel="00000000" w:rsidR="00000000" w:rsidRPr="00000000">
              <w:rPr>
                <w:rtl w:val="0"/>
              </w:rPr>
              <w:t xml:space="preserve">Education </w:t>
            </w:r>
          </w:p>
        </w:tc>
      </w:tr>
    </w:tbl>
    <w:p w:rsidR="00000000" w:rsidDel="00000000" w:rsidP="00000000" w:rsidRDefault="00000000" w:rsidRPr="00000000" w14:paraId="0000000C">
      <w:pPr>
        <w:spacing w:after="0" w:lineRule="auto"/>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559"/>
        <w:gridCol w:w="1276"/>
        <w:gridCol w:w="3544"/>
        <w:gridCol w:w="1933"/>
        <w:tblGridChange w:id="0">
          <w:tblGrid>
            <w:gridCol w:w="704"/>
            <w:gridCol w:w="1559"/>
            <w:gridCol w:w="1276"/>
            <w:gridCol w:w="3544"/>
            <w:gridCol w:w="1933"/>
          </w:tblGrid>
        </w:tblGridChange>
      </w:tblGrid>
      <w:tr>
        <w:trPr>
          <w:cantSplit w:val="0"/>
          <w:tblHeader w:val="0"/>
        </w:trPr>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t xml:space="preserve">Degree</w:t>
            </w:r>
          </w:p>
        </w:tc>
        <w:tc>
          <w:tcPr/>
          <w:p w:rsidR="00000000" w:rsidDel="00000000" w:rsidP="00000000" w:rsidRDefault="00000000" w:rsidRPr="00000000" w14:paraId="0000000F">
            <w:pPr>
              <w:rPr/>
            </w:pPr>
            <w:r w:rsidDel="00000000" w:rsidR="00000000" w:rsidRPr="00000000">
              <w:rPr>
                <w:rtl w:val="0"/>
              </w:rPr>
              <w:t xml:space="preserve">Year</w:t>
            </w:r>
          </w:p>
        </w:tc>
        <w:tc>
          <w:tcPr/>
          <w:p w:rsidR="00000000" w:rsidDel="00000000" w:rsidP="00000000" w:rsidRDefault="00000000" w:rsidRPr="00000000" w14:paraId="00000010">
            <w:pPr>
              <w:rPr/>
            </w:pPr>
            <w:r w:rsidDel="00000000" w:rsidR="00000000" w:rsidRPr="00000000">
              <w:rPr>
                <w:rtl w:val="0"/>
              </w:rPr>
              <w:t xml:space="preserve">Institute</w:t>
            </w:r>
          </w:p>
        </w:tc>
        <w:tc>
          <w:tcPr/>
          <w:p w:rsidR="00000000" w:rsidDel="00000000" w:rsidP="00000000" w:rsidRDefault="00000000" w:rsidRPr="00000000" w14:paraId="00000011">
            <w:pPr>
              <w:rPr/>
            </w:pPr>
            <w:r w:rsidDel="00000000" w:rsidR="00000000" w:rsidRPr="00000000">
              <w:rPr>
                <w:rtl w:val="0"/>
              </w:rPr>
              <w:t xml:space="preserve">Specialization</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1</w:t>
            </w:r>
          </w:p>
        </w:tc>
        <w:tc>
          <w:tcPr/>
          <w:p w:rsidR="00000000" w:rsidDel="00000000" w:rsidP="00000000" w:rsidRDefault="00000000" w:rsidRPr="00000000" w14:paraId="00000013">
            <w:pPr>
              <w:rPr/>
            </w:pPr>
            <w:r w:rsidDel="00000000" w:rsidR="00000000" w:rsidRPr="00000000">
              <w:rPr>
                <w:rtl w:val="0"/>
              </w:rPr>
              <w:t xml:space="preserve">Ph.D.</w:t>
            </w:r>
          </w:p>
        </w:tc>
        <w:tc>
          <w:tcPr/>
          <w:p w:rsidR="00000000" w:rsidDel="00000000" w:rsidP="00000000" w:rsidRDefault="00000000" w:rsidRPr="00000000" w14:paraId="00000014">
            <w:pPr>
              <w:rPr/>
            </w:pPr>
            <w:r w:rsidDel="00000000" w:rsidR="00000000" w:rsidRPr="00000000">
              <w:rPr>
                <w:rtl w:val="0"/>
              </w:rPr>
              <w:t xml:space="preserve">2018</w:t>
            </w:r>
          </w:p>
        </w:tc>
        <w:tc>
          <w:tcPr/>
          <w:p w:rsidR="00000000" w:rsidDel="00000000" w:rsidP="00000000" w:rsidRDefault="00000000" w:rsidRPr="00000000" w14:paraId="00000015">
            <w:pPr>
              <w:rPr/>
            </w:pPr>
            <w:r w:rsidDel="00000000" w:rsidR="00000000" w:rsidRPr="00000000">
              <w:rPr>
                <w:rtl w:val="0"/>
              </w:rPr>
              <w:t xml:space="preserve">VTU Belagavi</w:t>
            </w:r>
          </w:p>
        </w:tc>
        <w:tc>
          <w:tcPr/>
          <w:p w:rsidR="00000000" w:rsidDel="00000000" w:rsidP="00000000" w:rsidRDefault="00000000" w:rsidRPr="00000000" w14:paraId="00000016">
            <w:pPr>
              <w:rPr/>
            </w:pPr>
            <w:r w:rsidDel="00000000" w:rsidR="00000000" w:rsidRPr="00000000">
              <w:rPr>
                <w:rtl w:val="0"/>
              </w:rPr>
              <w:t xml:space="preserve">Biotechnology - Proteomics</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2</w:t>
            </w:r>
          </w:p>
        </w:tc>
        <w:tc>
          <w:tcPr/>
          <w:p w:rsidR="00000000" w:rsidDel="00000000" w:rsidP="00000000" w:rsidRDefault="00000000" w:rsidRPr="00000000" w14:paraId="00000018">
            <w:pPr>
              <w:rPr/>
            </w:pPr>
            <w:r w:rsidDel="00000000" w:rsidR="00000000" w:rsidRPr="00000000">
              <w:rPr>
                <w:rtl w:val="0"/>
              </w:rPr>
              <w:t xml:space="preserve">M.Tech.</w:t>
            </w:r>
          </w:p>
        </w:tc>
        <w:tc>
          <w:tcPr/>
          <w:p w:rsidR="00000000" w:rsidDel="00000000" w:rsidP="00000000" w:rsidRDefault="00000000" w:rsidRPr="00000000" w14:paraId="00000019">
            <w:pPr>
              <w:rPr/>
            </w:pPr>
            <w:r w:rsidDel="00000000" w:rsidR="00000000" w:rsidRPr="00000000">
              <w:rPr>
                <w:rtl w:val="0"/>
              </w:rPr>
              <w:t xml:space="preserve">2009</w:t>
            </w:r>
          </w:p>
        </w:tc>
        <w:tc>
          <w:tcPr/>
          <w:p w:rsidR="00000000" w:rsidDel="00000000" w:rsidP="00000000" w:rsidRDefault="00000000" w:rsidRPr="00000000" w14:paraId="0000001A">
            <w:pPr>
              <w:rPr/>
            </w:pPr>
            <w:r w:rsidDel="00000000" w:rsidR="00000000" w:rsidRPr="00000000">
              <w:rPr>
                <w:rtl w:val="0"/>
              </w:rPr>
              <w:t xml:space="preserve">SASTRA University</w:t>
            </w:r>
          </w:p>
        </w:tc>
        <w:tc>
          <w:tcPr/>
          <w:p w:rsidR="00000000" w:rsidDel="00000000" w:rsidP="00000000" w:rsidRDefault="00000000" w:rsidRPr="00000000" w14:paraId="0000001B">
            <w:pPr>
              <w:rPr/>
            </w:pPr>
            <w:r w:rsidDel="00000000" w:rsidR="00000000" w:rsidRPr="00000000">
              <w:rPr>
                <w:rtl w:val="0"/>
              </w:rPr>
              <w:t xml:space="preserve">Bioinformatics</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3</w:t>
            </w:r>
          </w:p>
        </w:tc>
        <w:tc>
          <w:tcPr/>
          <w:p w:rsidR="00000000" w:rsidDel="00000000" w:rsidP="00000000" w:rsidRDefault="00000000" w:rsidRPr="00000000" w14:paraId="0000001D">
            <w:pPr>
              <w:rPr/>
            </w:pPr>
            <w:r w:rsidDel="00000000" w:rsidR="00000000" w:rsidRPr="00000000">
              <w:rPr>
                <w:rtl w:val="0"/>
              </w:rPr>
              <w:t xml:space="preserve">B.E.</w:t>
            </w:r>
          </w:p>
        </w:tc>
        <w:tc>
          <w:tcPr/>
          <w:p w:rsidR="00000000" w:rsidDel="00000000" w:rsidP="00000000" w:rsidRDefault="00000000" w:rsidRPr="00000000" w14:paraId="0000001E">
            <w:pPr>
              <w:rPr/>
            </w:pPr>
            <w:r w:rsidDel="00000000" w:rsidR="00000000" w:rsidRPr="00000000">
              <w:rPr>
                <w:rtl w:val="0"/>
              </w:rPr>
              <w:t xml:space="preserve">2007</w:t>
            </w:r>
          </w:p>
        </w:tc>
        <w:tc>
          <w:tcPr/>
          <w:p w:rsidR="00000000" w:rsidDel="00000000" w:rsidP="00000000" w:rsidRDefault="00000000" w:rsidRPr="00000000" w14:paraId="0000001F">
            <w:pPr>
              <w:rPr/>
            </w:pPr>
            <w:r w:rsidDel="00000000" w:rsidR="00000000" w:rsidRPr="00000000">
              <w:rPr>
                <w:rtl w:val="0"/>
              </w:rPr>
              <w:t xml:space="preserve">VTU Belagavi</w:t>
            </w:r>
          </w:p>
        </w:tc>
        <w:tc>
          <w:tcPr/>
          <w:p w:rsidR="00000000" w:rsidDel="00000000" w:rsidP="00000000" w:rsidRDefault="00000000" w:rsidRPr="00000000" w14:paraId="00000020">
            <w:pPr>
              <w:rPr/>
            </w:pPr>
            <w:r w:rsidDel="00000000" w:rsidR="00000000" w:rsidRPr="00000000">
              <w:rPr>
                <w:rtl w:val="0"/>
              </w:rPr>
              <w:t xml:space="preserve">Biotechnology</w:t>
            </w:r>
          </w:p>
        </w:tc>
      </w:tr>
      <w:tr>
        <w:trPr>
          <w:cantSplit w:val="0"/>
          <w:tblHeader w:val="0"/>
        </w:trPr>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spacing w:after="0" w:lineRule="auto"/>
        <w:rPr/>
      </w:pPr>
      <w:r w:rsidDel="00000000" w:rsidR="00000000" w:rsidRPr="00000000">
        <w:rPr>
          <w:rtl w:val="0"/>
        </w:rPr>
      </w:r>
    </w:p>
    <w:tbl>
      <w:tblPr>
        <w:tblStyle w:val="Table4"/>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27">
            <w:pPr>
              <w:rPr/>
            </w:pPr>
            <w:r w:rsidDel="00000000" w:rsidR="00000000" w:rsidRPr="00000000">
              <w:rPr>
                <w:rtl w:val="0"/>
              </w:rPr>
              <w:t xml:space="preserve">Professional Experience</w:t>
            </w:r>
          </w:p>
        </w:tc>
      </w:tr>
    </w:tbl>
    <w:p w:rsidR="00000000" w:rsidDel="00000000" w:rsidP="00000000" w:rsidRDefault="00000000" w:rsidRPr="00000000" w14:paraId="00000028">
      <w:pPr>
        <w:spacing w:after="0" w:lineRule="auto"/>
        <w:rPr/>
      </w:pPr>
      <w:r w:rsidDel="00000000" w:rsidR="00000000" w:rsidRPr="00000000">
        <w:rPr>
          <w:rtl w:val="0"/>
        </w:rPr>
      </w:r>
    </w:p>
    <w:tbl>
      <w:tblPr>
        <w:tblStyle w:val="Table5"/>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932"/>
        <w:gridCol w:w="2321"/>
        <w:gridCol w:w="4057"/>
        <w:tblGridChange w:id="0">
          <w:tblGrid>
            <w:gridCol w:w="704"/>
            <w:gridCol w:w="1932"/>
            <w:gridCol w:w="2321"/>
            <w:gridCol w:w="4057"/>
          </w:tblGrid>
        </w:tblGridChange>
      </w:tblGrid>
      <w:tr>
        <w:trPr>
          <w:cantSplit w:val="0"/>
          <w:trHeight w:val="438" w:hRule="atLeast"/>
          <w:tblHeader w:val="0"/>
        </w:trPr>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t xml:space="preserve">Date (from-to)</w:t>
            </w:r>
          </w:p>
        </w:tc>
        <w:tc>
          <w:tcPr/>
          <w:p w:rsidR="00000000" w:rsidDel="00000000" w:rsidP="00000000" w:rsidRDefault="00000000" w:rsidRPr="00000000" w14:paraId="0000002B">
            <w:pPr>
              <w:rPr/>
            </w:pPr>
            <w:r w:rsidDel="00000000" w:rsidR="00000000" w:rsidRPr="00000000">
              <w:rPr>
                <w:rtl w:val="0"/>
              </w:rPr>
              <w:t xml:space="preserve">Designation </w:t>
            </w:r>
          </w:p>
        </w:tc>
        <w:tc>
          <w:tcPr/>
          <w:p w:rsidR="00000000" w:rsidDel="00000000" w:rsidP="00000000" w:rsidRDefault="00000000" w:rsidRPr="00000000" w14:paraId="0000002C">
            <w:pPr>
              <w:rPr/>
            </w:pPr>
            <w:r w:rsidDel="00000000" w:rsidR="00000000" w:rsidRPr="00000000">
              <w:rPr>
                <w:rtl w:val="0"/>
              </w:rPr>
              <w:t xml:space="preserve">Organization</w:t>
            </w:r>
          </w:p>
        </w:tc>
      </w:tr>
      <w:tr>
        <w:trPr>
          <w:cantSplit w:val="0"/>
          <w:trHeight w:val="213" w:hRule="atLeast"/>
          <w:tblHeader w:val="0"/>
        </w:trPr>
        <w:tc>
          <w:tcPr/>
          <w:p w:rsidR="00000000" w:rsidDel="00000000" w:rsidP="00000000" w:rsidRDefault="00000000" w:rsidRPr="00000000" w14:paraId="0000002D">
            <w:pPr>
              <w:rPr/>
            </w:pPr>
            <w:r w:rsidDel="00000000" w:rsidR="00000000" w:rsidRPr="00000000">
              <w:rPr>
                <w:rtl w:val="0"/>
              </w:rPr>
              <w:t xml:space="preserve">1</w:t>
            </w:r>
          </w:p>
        </w:tc>
        <w:tc>
          <w:tcPr/>
          <w:p w:rsidR="00000000" w:rsidDel="00000000" w:rsidP="00000000" w:rsidRDefault="00000000" w:rsidRPr="00000000" w14:paraId="0000002E">
            <w:pPr>
              <w:rPr/>
            </w:pPr>
            <w:r w:rsidDel="00000000" w:rsidR="00000000" w:rsidRPr="00000000">
              <w:rPr>
                <w:rtl w:val="0"/>
              </w:rPr>
              <w:t xml:space="preserve">15-09-2025 to present</w:t>
            </w:r>
          </w:p>
        </w:tc>
        <w:tc>
          <w:tcPr/>
          <w:p w:rsidR="00000000" w:rsidDel="00000000" w:rsidP="00000000" w:rsidRDefault="00000000" w:rsidRPr="00000000" w14:paraId="0000002F">
            <w:pPr>
              <w:rPr/>
            </w:pPr>
            <w:r w:rsidDel="00000000" w:rsidR="00000000" w:rsidRPr="00000000">
              <w:rPr>
                <w:rtl w:val="0"/>
              </w:rPr>
              <w:t xml:space="preserve">Assistant Professor</w:t>
            </w:r>
          </w:p>
        </w:tc>
        <w:tc>
          <w:tcPr/>
          <w:p w:rsidR="00000000" w:rsidDel="00000000" w:rsidP="00000000" w:rsidRDefault="00000000" w:rsidRPr="00000000" w14:paraId="00000030">
            <w:pPr>
              <w:rPr/>
            </w:pPr>
            <w:r w:rsidDel="00000000" w:rsidR="00000000" w:rsidRPr="00000000">
              <w:rPr>
                <w:rtl w:val="0"/>
              </w:rPr>
              <w:t xml:space="preserve">Department of Biotechnology, SIT Tumkur</w:t>
            </w:r>
          </w:p>
        </w:tc>
      </w:tr>
      <w:tr>
        <w:trPr>
          <w:cantSplit w:val="0"/>
          <w:trHeight w:val="213" w:hRule="atLeast"/>
          <w:tblHeader w:val="0"/>
        </w:trPr>
        <w:tc>
          <w:tcPr/>
          <w:p w:rsidR="00000000" w:rsidDel="00000000" w:rsidP="00000000" w:rsidRDefault="00000000" w:rsidRPr="00000000" w14:paraId="00000031">
            <w:pPr>
              <w:rPr/>
            </w:pPr>
            <w:r w:rsidDel="00000000" w:rsidR="00000000" w:rsidRPr="00000000">
              <w:rPr>
                <w:rtl w:val="0"/>
              </w:rPr>
              <w:t xml:space="preserve">2</w:t>
            </w:r>
          </w:p>
        </w:tc>
        <w:tc>
          <w:tcPr/>
          <w:p w:rsidR="00000000" w:rsidDel="00000000" w:rsidP="00000000" w:rsidRDefault="00000000" w:rsidRPr="00000000" w14:paraId="00000032">
            <w:pPr>
              <w:rPr/>
            </w:pPr>
            <w:r w:rsidDel="00000000" w:rsidR="00000000" w:rsidRPr="00000000">
              <w:rPr>
                <w:rtl w:val="0"/>
              </w:rPr>
              <w:t xml:space="preserve">17-01-2024 – 12-09-2025</w:t>
            </w:r>
          </w:p>
        </w:tc>
        <w:tc>
          <w:tcPr/>
          <w:p w:rsidR="00000000" w:rsidDel="00000000" w:rsidP="00000000" w:rsidRDefault="00000000" w:rsidRPr="00000000" w14:paraId="00000033">
            <w:pPr>
              <w:rPr/>
            </w:pPr>
            <w:r w:rsidDel="00000000" w:rsidR="00000000" w:rsidRPr="00000000">
              <w:rPr>
                <w:rtl w:val="0"/>
              </w:rPr>
              <w:t xml:space="preserve">Senior Scientist – II</w:t>
            </w:r>
          </w:p>
        </w:tc>
        <w:tc>
          <w:tcPr/>
          <w:p w:rsidR="00000000" w:rsidDel="00000000" w:rsidP="00000000" w:rsidRDefault="00000000" w:rsidRPr="00000000" w14:paraId="00000034">
            <w:pPr>
              <w:rPr/>
            </w:pPr>
            <w:r w:rsidDel="00000000" w:rsidR="00000000" w:rsidRPr="00000000">
              <w:rPr>
                <w:rtl w:val="0"/>
              </w:rPr>
              <w:t xml:space="preserve">Strand Life Sciences, Bangalore (A Reliance Subsidiary, Mumbai) </w:t>
            </w:r>
          </w:p>
        </w:tc>
      </w:tr>
      <w:tr>
        <w:trPr>
          <w:cantSplit w:val="0"/>
          <w:trHeight w:val="213" w:hRule="atLeast"/>
          <w:tblHeader w:val="0"/>
        </w:trPr>
        <w:tc>
          <w:tcPr/>
          <w:p w:rsidR="00000000" w:rsidDel="00000000" w:rsidP="00000000" w:rsidRDefault="00000000" w:rsidRPr="00000000" w14:paraId="00000035">
            <w:pPr>
              <w:rPr/>
            </w:pPr>
            <w:r w:rsidDel="00000000" w:rsidR="00000000" w:rsidRPr="00000000">
              <w:rPr>
                <w:rtl w:val="0"/>
              </w:rPr>
              <w:t xml:space="preserve">3</w:t>
            </w:r>
          </w:p>
        </w:tc>
        <w:tc>
          <w:tcPr/>
          <w:p w:rsidR="00000000" w:rsidDel="00000000" w:rsidP="00000000" w:rsidRDefault="00000000" w:rsidRPr="00000000" w14:paraId="00000036">
            <w:pPr>
              <w:rPr/>
            </w:pPr>
            <w:r w:rsidDel="00000000" w:rsidR="00000000" w:rsidRPr="00000000">
              <w:rPr>
                <w:rtl w:val="0"/>
              </w:rPr>
              <w:t xml:space="preserve">01-03-2010 – 16-01-2024</w:t>
            </w:r>
          </w:p>
        </w:tc>
        <w:tc>
          <w:tcPr/>
          <w:p w:rsidR="00000000" w:rsidDel="00000000" w:rsidP="00000000" w:rsidRDefault="00000000" w:rsidRPr="00000000" w14:paraId="00000037">
            <w:pPr>
              <w:rPr/>
            </w:pPr>
            <w:r w:rsidDel="00000000" w:rsidR="00000000" w:rsidRPr="00000000">
              <w:rPr>
                <w:rtl w:val="0"/>
              </w:rPr>
              <w:t xml:space="preserve">Assistant Professor</w:t>
            </w:r>
          </w:p>
        </w:tc>
        <w:tc>
          <w:tcPr/>
          <w:p w:rsidR="00000000" w:rsidDel="00000000" w:rsidP="00000000" w:rsidRDefault="00000000" w:rsidRPr="00000000" w14:paraId="00000038">
            <w:pPr>
              <w:rPr/>
            </w:pPr>
            <w:r w:rsidDel="00000000" w:rsidR="00000000" w:rsidRPr="00000000">
              <w:rPr>
                <w:rtl w:val="0"/>
              </w:rPr>
              <w:t xml:space="preserve">Department of Biotechnology, SIT Tumkur</w:t>
            </w:r>
          </w:p>
        </w:tc>
      </w:tr>
      <w:tr>
        <w:trPr>
          <w:cantSplit w:val="0"/>
          <w:trHeight w:val="213" w:hRule="atLeast"/>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bl>
    <w:p w:rsidR="00000000" w:rsidDel="00000000" w:rsidP="00000000" w:rsidRDefault="00000000" w:rsidRPr="00000000" w14:paraId="0000003D">
      <w:pPr>
        <w:spacing w:after="0" w:lineRule="auto"/>
        <w:rPr>
          <w:i w:val="1"/>
        </w:rPr>
      </w:pPr>
      <w:r w:rsidDel="00000000" w:rsidR="00000000" w:rsidRPr="00000000">
        <w:rPr>
          <w:i w:val="1"/>
          <w:rtl w:val="0"/>
        </w:rPr>
        <w:t xml:space="preserve">(Please fill in reverse order. Current designation should be at the top)</w:t>
      </w:r>
    </w:p>
    <w:p w:rsidR="00000000" w:rsidDel="00000000" w:rsidP="00000000" w:rsidRDefault="00000000" w:rsidRPr="00000000" w14:paraId="0000003E">
      <w:pPr>
        <w:spacing w:after="0" w:lineRule="auto"/>
        <w:rPr/>
      </w:pPr>
      <w:r w:rsidDel="00000000" w:rsidR="00000000" w:rsidRPr="00000000">
        <w:rPr>
          <w:rtl w:val="0"/>
        </w:rPr>
      </w:r>
    </w:p>
    <w:tbl>
      <w:tblPr>
        <w:tblStyle w:val="Table6"/>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3F">
            <w:pPr>
              <w:rPr/>
            </w:pPr>
            <w:r w:rsidDel="00000000" w:rsidR="00000000" w:rsidRPr="00000000">
              <w:rPr>
                <w:rtl w:val="0"/>
              </w:rPr>
              <w:t xml:space="preserve">Positions held</w:t>
            </w:r>
          </w:p>
        </w:tc>
      </w:tr>
    </w:tbl>
    <w:p w:rsidR="00000000" w:rsidDel="00000000" w:rsidP="00000000" w:rsidRDefault="00000000" w:rsidRPr="00000000" w14:paraId="00000040">
      <w:pPr>
        <w:spacing w:after="0" w:lineRule="auto"/>
        <w:rPr>
          <w:i w:val="1"/>
        </w:rPr>
      </w:pPr>
      <w:r w:rsidDel="00000000" w:rsidR="00000000" w:rsidRPr="00000000">
        <w:rPr>
          <w:i w:val="1"/>
          <w:rtl w:val="0"/>
        </w:rPr>
        <w:t xml:space="preserve">(Please give details of any administrative posts, co Ordinator roles/ responsibilities held)</w:t>
      </w:r>
    </w:p>
    <w:p w:rsidR="00000000" w:rsidDel="00000000" w:rsidP="00000000" w:rsidRDefault="00000000" w:rsidRPr="00000000" w14:paraId="00000041">
      <w:pPr>
        <w:spacing w:after="0" w:lineRule="auto"/>
        <w:rPr/>
      </w:pPr>
      <w:r w:rsidDel="00000000" w:rsidR="00000000" w:rsidRPr="00000000">
        <w:rPr>
          <w:rtl w:val="0"/>
        </w:rPr>
      </w:r>
    </w:p>
    <w:tbl>
      <w:tblPr>
        <w:tblStyle w:val="Table7"/>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42">
            <w:pPr>
              <w:rPr/>
            </w:pPr>
            <w:r w:rsidDel="00000000" w:rsidR="00000000" w:rsidRPr="00000000">
              <w:rPr>
                <w:rtl w:val="0"/>
              </w:rPr>
              <w:t xml:space="preserve">Affiliations of Professional organizations</w:t>
            </w:r>
          </w:p>
        </w:tc>
      </w:tr>
    </w:tbl>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Proteomics Society of India</w:t>
      </w:r>
    </w:p>
    <w:p w:rsidR="00000000" w:rsidDel="00000000" w:rsidP="00000000" w:rsidRDefault="00000000" w:rsidRPr="00000000" w14:paraId="00000044">
      <w:pPr>
        <w:spacing w:after="0" w:lineRule="auto"/>
        <w:rPr/>
      </w:pPr>
      <w:r w:rsidDel="00000000" w:rsidR="00000000" w:rsidRPr="00000000">
        <w:rPr>
          <w:rtl w:val="0"/>
        </w:rPr>
      </w:r>
    </w:p>
    <w:tbl>
      <w:tblPr>
        <w:tblStyle w:val="Table8"/>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45">
            <w:pPr>
              <w:rPr/>
            </w:pPr>
            <w:r w:rsidDel="00000000" w:rsidR="00000000" w:rsidRPr="00000000">
              <w:rPr>
                <w:rtl w:val="0"/>
              </w:rPr>
              <w:t xml:space="preserve">Awards and Honors</w:t>
            </w:r>
          </w:p>
        </w:tc>
      </w:tr>
    </w:tbl>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SERB-TARE Fellow – 2020-2023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tbl>
      <w:tblPr>
        <w:tblStyle w:val="Table9"/>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49">
            <w:pPr>
              <w:rPr/>
            </w:pPr>
            <w:r w:rsidDel="00000000" w:rsidR="00000000" w:rsidRPr="00000000">
              <w:rPr>
                <w:rtl w:val="0"/>
              </w:rPr>
              <w:t xml:space="preserve">Courses Taught </w:t>
            </w:r>
          </w:p>
        </w:tc>
      </w:tr>
    </w:tbl>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Undergraduate Courses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Bioinformatics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Genomics and Proteomics</w:t>
      </w:r>
    </w:p>
    <w:p w:rsidR="00000000" w:rsidDel="00000000" w:rsidP="00000000" w:rsidRDefault="00000000" w:rsidRPr="00000000" w14:paraId="0000004E">
      <w:pPr>
        <w:spacing w:after="0" w:lineRule="auto"/>
        <w:rPr/>
      </w:pPr>
      <w:r w:rsidDel="00000000" w:rsidR="00000000" w:rsidRPr="00000000">
        <w:rPr>
          <w:rtl w:val="0"/>
        </w:rPr>
        <w:t xml:space="preserve">Postgraduate Courses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t xml:space="preserve">Nil</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tbl>
      <w:tblPr>
        <w:tblStyle w:val="Table10"/>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51">
            <w:pPr>
              <w:rPr/>
            </w:pPr>
            <w:r w:rsidDel="00000000" w:rsidR="00000000" w:rsidRPr="00000000">
              <w:rPr>
                <w:rtl w:val="0"/>
              </w:rPr>
              <w:t xml:space="preserve">Research Guidance </w:t>
            </w:r>
          </w:p>
        </w:tc>
      </w:tr>
    </w:tbl>
    <w:p w:rsidR="00000000" w:rsidDel="00000000" w:rsidP="00000000" w:rsidRDefault="00000000" w:rsidRPr="00000000" w14:paraId="00000052">
      <w:pPr>
        <w:spacing w:after="0" w:lineRule="auto"/>
        <w:rPr/>
      </w:pPr>
      <w:r w:rsidDel="00000000" w:rsidR="00000000" w:rsidRPr="00000000">
        <w:rPr>
          <w:rtl w:val="0"/>
        </w:rPr>
      </w:r>
    </w:p>
    <w:tbl>
      <w:tblPr>
        <w:tblStyle w:val="Table11"/>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932"/>
        <w:gridCol w:w="4872"/>
        <w:gridCol w:w="1506"/>
        <w:tblGridChange w:id="0">
          <w:tblGrid>
            <w:gridCol w:w="704"/>
            <w:gridCol w:w="1932"/>
            <w:gridCol w:w="4872"/>
            <w:gridCol w:w="1506"/>
          </w:tblGrid>
        </w:tblGridChange>
      </w:tblGrid>
      <w:tr>
        <w:trPr>
          <w:cantSplit w:val="0"/>
          <w:trHeight w:val="438" w:hRule="atLeast"/>
          <w:tblHeader w:val="0"/>
        </w:trPr>
        <w:tc>
          <w:tcPr/>
          <w:p w:rsidR="00000000" w:rsidDel="00000000" w:rsidP="00000000" w:rsidRDefault="00000000" w:rsidRPr="00000000" w14:paraId="00000053">
            <w:pPr>
              <w:rPr/>
            </w:pPr>
            <w:r w:rsidDel="00000000" w:rsidR="00000000" w:rsidRPr="00000000">
              <w:rPr>
                <w:rtl w:val="0"/>
              </w:rPr>
              <w:t xml:space="preserve">Sl. no</w:t>
            </w:r>
          </w:p>
        </w:tc>
        <w:tc>
          <w:tcPr/>
          <w:p w:rsidR="00000000" w:rsidDel="00000000" w:rsidP="00000000" w:rsidRDefault="00000000" w:rsidRPr="00000000" w14:paraId="00000054">
            <w:pPr>
              <w:rPr/>
            </w:pPr>
            <w:r w:rsidDel="00000000" w:rsidR="00000000" w:rsidRPr="00000000">
              <w:rPr>
                <w:rtl w:val="0"/>
              </w:rPr>
              <w:t xml:space="preserve">Name of the Scholar </w:t>
            </w:r>
          </w:p>
        </w:tc>
        <w:tc>
          <w:tcPr/>
          <w:p w:rsidR="00000000" w:rsidDel="00000000" w:rsidP="00000000" w:rsidRDefault="00000000" w:rsidRPr="00000000" w14:paraId="00000055">
            <w:pPr>
              <w:rPr/>
            </w:pPr>
            <w:r w:rsidDel="00000000" w:rsidR="00000000" w:rsidRPr="00000000">
              <w:rPr>
                <w:rtl w:val="0"/>
              </w:rPr>
              <w:t xml:space="preserve">Title </w:t>
            </w:r>
          </w:p>
        </w:tc>
        <w:tc>
          <w:tcPr/>
          <w:p w:rsidR="00000000" w:rsidDel="00000000" w:rsidP="00000000" w:rsidRDefault="00000000" w:rsidRPr="00000000" w14:paraId="00000056">
            <w:pPr>
              <w:rPr/>
            </w:pPr>
            <w:r w:rsidDel="00000000" w:rsidR="00000000" w:rsidRPr="00000000">
              <w:rPr>
                <w:rtl w:val="0"/>
              </w:rPr>
              <w:t xml:space="preserve">Year of completion </w:t>
            </w:r>
          </w:p>
        </w:tc>
      </w:tr>
      <w:tr>
        <w:trPr>
          <w:cantSplit w:val="0"/>
          <w:trHeight w:val="213" w:hRule="atLeast"/>
          <w:tblHeader w:val="0"/>
        </w:trPr>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t xml:space="preserve">Nil</w:t>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tbl>
      <w:tblPr>
        <w:tblStyle w:val="Table12"/>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69">
            <w:pPr>
              <w:rPr/>
            </w:pPr>
            <w:r w:rsidDel="00000000" w:rsidR="00000000" w:rsidRPr="00000000">
              <w:rPr>
                <w:rtl w:val="0"/>
              </w:rPr>
              <w:t xml:space="preserve">Research Areas </w:t>
            </w:r>
          </w:p>
        </w:tc>
      </w:tr>
    </w:tbl>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Application of OMICS in healthcare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t xml:space="preserve">Healthcare Data Analytics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r>
    </w:p>
    <w:tbl>
      <w:tblPr>
        <w:tblStyle w:val="Table13"/>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6E">
            <w:pPr>
              <w:rPr/>
            </w:pPr>
            <w:r w:rsidDel="00000000" w:rsidR="00000000" w:rsidRPr="00000000">
              <w:rPr>
                <w:rtl w:val="0"/>
              </w:rPr>
              <w:t xml:space="preserve">Sponsored Projects  </w:t>
            </w:r>
          </w:p>
        </w:tc>
      </w:tr>
    </w:tbl>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tl w:val="0"/>
        </w:rPr>
        <w:t xml:space="preserve">Ongoing Projects:</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National Network Project of Yenepoya (Deemed to be University), Mangalore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Agency: Department of Biotechnology (DBT), Ministry of Science and Technology, Govt. of India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Amount: ₹395 lakhs (Multi institute grant, SIT  ₹ 65 lakhs)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Duration: 5 Years (2025-2030)</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 Principal Investigator</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 Network Centre for Research on Glioblastoma Stem cell–targeted T-cell Immunotherapy using Non-genetically Engineered Mesenchymal Stromal Cells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Agency: Department of Biotechnology (DBT), Ministry of Science and Technology, Govt. of India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Amount: ₹350 lakhs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Duration: 3 Years (2023-2026)</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Role:Co-Investigator</w:t>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t xml:space="preserve">Completed Projects:</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 An Integrated Approach to Study the Effect of Trace Elements on Schizophrenia Proteome.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Agency: SERB, Govt of India. (Scheme – SERB-TARE)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Amount: ₹18.30 lakhs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Duration: 3 Years (2020-2023)</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 Principal Investigator</w:t>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 Identification of lead compound against nuclear factor kappa B (NF-KB) of ulcerative colitis by virtual screening on medicinal plant compounds and invivo test on acetic acid induced u. colitis experimental rats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Agency: VTU Faculty Research Grant, Belagavi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Amount: ₹2.20 lakhs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Duration: 2 Years (2011-2013)</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 Principal Investigator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Title: Biotechnology Finishing School (BTFS)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Funding Agency: Department of ITBT, Govt. of Karnataka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Amount: ₹100 lakhs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Duration: 5 Years (2011-2015)</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 Coordinator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tbl>
      <w:tblPr>
        <w:tblStyle w:val="Table14"/>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90">
            <w:pPr>
              <w:rPr/>
            </w:pPr>
            <w:r w:rsidDel="00000000" w:rsidR="00000000" w:rsidRPr="00000000">
              <w:rPr>
                <w:rtl w:val="0"/>
              </w:rPr>
              <w:t xml:space="preserve">Publications </w:t>
            </w:r>
          </w:p>
        </w:tc>
      </w:tr>
    </w:tbl>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t xml:space="preserve">Journals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Quattrocento Sans" w:cs="Quattrocento Sans" w:eastAsia="Quattrocento Sans" w:hAnsi="Quattrocento Sans"/>
          <w:b w:val="0"/>
          <w:i w:val="0"/>
          <w:smallCaps w:val="0"/>
          <w:strike w:val="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212121"/>
          <w:sz w:val="24"/>
          <w:szCs w:val="24"/>
          <w:highlight w:val="white"/>
          <w:u w:val="none"/>
          <w:vertAlign w:val="baseline"/>
          <w:rtl w:val="0"/>
        </w:rPr>
        <w:t xml:space="preserve"> </w:t>
      </w:r>
      <w:r w:rsidDel="00000000" w:rsidR="00000000" w:rsidRPr="00000000">
        <w:rPr>
          <w:vertAlign w:val="baseline"/>
          <w:rtl w:val="0"/>
        </w:rPr>
        <w:t xml:space="preserve">Structure-based pharmacophore modeling and DFT studies of Indian Ocean-derived red algal compounds as PI3Kα inhibitors. Vasuki A, Christy HJ, Renugadevi K, Dammalli M. Mol Divers. 2024 Aug;28(4):2563-2581. doi: 10.1007/s11030-023-10695-7. Epub 2023 Jul 19.</w:t>
      </w:r>
    </w:p>
    <w:p w:rsidR="00000000" w:rsidDel="00000000" w:rsidP="00000000" w:rsidRDefault="00000000" w:rsidRPr="00000000" w14:paraId="00000094">
      <w:pPr>
        <w:numPr>
          <w:ilvl w:val="0"/>
          <w:numId w:val="1"/>
        </w:numPr>
        <w:ind w:left="720" w:hanging="360"/>
        <w:jc w:val="both"/>
        <w:rPr/>
      </w:pPr>
      <w:r w:rsidDel="00000000" w:rsidR="00000000" w:rsidRPr="00000000">
        <w:rPr>
          <w:vertAlign w:val="baseline"/>
          <w:rtl w:val="0"/>
        </w:rPr>
        <w:t xml:space="preserve">Possible cerebroprotective effect of citronellal: molecular docking, MD simulation and in vivo investigations. Vamshi G, D S N B K P, Sampath A, Dammalli M, Kumar P, B S G, Pasala PK, Somasekhar G, Challa MC, Alluril R, Narala VR.J Biomol Struct Dyn. 2024 Feb-Mar;42(3):1208-1219. doi: 10.1080/07391102.2023.2220025. Epub 2023 Jun 7.</w:t>
      </w:r>
    </w:p>
    <w:p w:rsidR="00000000" w:rsidDel="00000000" w:rsidP="00000000" w:rsidRDefault="00000000" w:rsidRPr="00000000" w14:paraId="00000095">
      <w:pPr>
        <w:numPr>
          <w:ilvl w:val="0"/>
          <w:numId w:val="1"/>
        </w:numPr>
        <w:ind w:left="720" w:hanging="360"/>
        <w:jc w:val="both"/>
        <w:rPr/>
      </w:pPr>
      <w:r w:rsidDel="00000000" w:rsidR="00000000" w:rsidRPr="00000000">
        <w:rPr>
          <w:vertAlign w:val="baseline"/>
          <w:rtl w:val="0"/>
        </w:rPr>
        <w:t xml:space="preserve">Molecular docking and simulation studies against nucleoside diphosphate kinase (NDK) of Pseudomonas aeruginosa with secondary metabolite identified by genome mining from paenibacillusehimensis.</w:t>
      </w:r>
      <w:r w:rsidDel="00000000" w:rsidR="00000000" w:rsidRPr="00000000">
        <w:rPr>
          <w:rtl w:val="0"/>
        </w:rPr>
      </w:r>
    </w:p>
    <w:p w:rsidR="00000000" w:rsidDel="00000000" w:rsidP="00000000" w:rsidRDefault="00000000" w:rsidRPr="00000000" w14:paraId="00000096">
      <w:pPr>
        <w:numPr>
          <w:ilvl w:val="0"/>
          <w:numId w:val="1"/>
        </w:numPr>
        <w:ind w:left="720" w:hanging="360"/>
        <w:jc w:val="both"/>
        <w:rPr/>
      </w:pPr>
      <w:r w:rsidDel="00000000" w:rsidR="00000000" w:rsidRPr="00000000">
        <w:rPr>
          <w:vertAlign w:val="baseline"/>
          <w:rtl w:val="0"/>
        </w:rPr>
        <w:t xml:space="preserve">Bagewadi ZK, Aakanksha UK, Yaraguppi DA, Yunus Khan TM, Deshpande SH, Dammalli M, Revankar AG, Savalagi AJ, Hiremath SV.J Biomol Struct Dyn. 2023;41(22):12610-12619. doi: 10.1080/07391102.2023.2167118. Epub 2023 Jan 18.</w:t>
      </w:r>
    </w:p>
    <w:p w:rsidR="00000000" w:rsidDel="00000000" w:rsidP="00000000" w:rsidRDefault="00000000" w:rsidRPr="00000000" w14:paraId="00000097">
      <w:pPr>
        <w:numPr>
          <w:ilvl w:val="0"/>
          <w:numId w:val="1"/>
        </w:numPr>
        <w:ind w:left="720" w:hanging="360"/>
        <w:jc w:val="both"/>
        <w:rPr/>
      </w:pPr>
      <w:r w:rsidDel="00000000" w:rsidR="00000000" w:rsidRPr="00000000">
        <w:rPr>
          <w:rtl w:val="0"/>
        </w:rPr>
        <w:t xml:space="preserve">Proteomic Analysis of Human Breast Cancer MCF-7 Cells to Identify Cellular Targets of the Anticancer Pigment OR3 from Streptomyces coelicolor JUACT03.</w:t>
      </w:r>
      <w:r w:rsidDel="00000000" w:rsidR="00000000" w:rsidRPr="00000000">
        <w:rPr>
          <w:rtl w:val="0"/>
        </w:rPr>
        <w:t xml:space="preserve"> D S, Dammalli M, Nadumane VK.Appl Biochem Biotechnol. 2023 Jan;195(1):236-252. doi: 10.1007/s12010-022-04128-8. Epub 2022 Sep 7</w:t>
      </w:r>
    </w:p>
    <w:p w:rsidR="00000000" w:rsidDel="00000000" w:rsidP="00000000" w:rsidRDefault="00000000" w:rsidRPr="00000000" w14:paraId="00000098">
      <w:pPr>
        <w:numPr>
          <w:ilvl w:val="0"/>
          <w:numId w:val="1"/>
        </w:numPr>
        <w:ind w:left="720" w:hanging="360"/>
        <w:jc w:val="both"/>
        <w:rPr/>
      </w:pPr>
      <w:r w:rsidDel="00000000" w:rsidR="00000000" w:rsidRPr="00000000">
        <w:rPr>
          <w:rtl w:val="0"/>
        </w:rPr>
        <w:t xml:space="preserve">Investigation of the reactivity properties of a thiourea derivative with anticancer activity by DFT and MD simulations.</w:t>
      </w:r>
      <w:r w:rsidDel="00000000" w:rsidR="00000000" w:rsidRPr="00000000">
        <w:rPr>
          <w:rtl w:val="0"/>
        </w:rPr>
        <w:t xml:space="preserve"> Mary YS, Mary YS, Bielenica A, Armaković S, Armaković SJ, Chandramohan V, Dammalli M.J Mol Model. 2021 Jul 3;27(8):217. doi: 10.1007/s00894-021-04835-9.</w:t>
      </w:r>
    </w:p>
    <w:p w:rsidR="00000000" w:rsidDel="00000000" w:rsidP="00000000" w:rsidRDefault="00000000" w:rsidRPr="00000000" w14:paraId="00000099">
      <w:pPr>
        <w:numPr>
          <w:ilvl w:val="0"/>
          <w:numId w:val="1"/>
        </w:numPr>
        <w:ind w:left="720" w:hanging="360"/>
        <w:jc w:val="both"/>
        <w:rPr/>
      </w:pPr>
      <w:r w:rsidDel="00000000" w:rsidR="00000000" w:rsidRPr="00000000">
        <w:rPr>
          <w:rtl w:val="0"/>
        </w:rPr>
        <w:t xml:space="preserve">Proteomics of the Human Olfactory Tract.</w:t>
      </w:r>
      <w:r w:rsidDel="00000000" w:rsidR="00000000" w:rsidRPr="00000000">
        <w:rPr>
          <w:rtl w:val="0"/>
        </w:rPr>
        <w:t xml:space="preserve"> Dammalli M, Dey G, Kumar M, Madugundu AK, Gopalakrishnan L, Gowrishankar BS, Mahadevan A, Shankar SK, Prasad TSK. OMICS. 2018 Jan;22(1):77-87. doi: 10.1089/omi.2017.0155.</w:t>
      </w:r>
    </w:p>
    <w:p w:rsidR="00000000" w:rsidDel="00000000" w:rsidP="00000000" w:rsidRDefault="00000000" w:rsidRPr="00000000" w14:paraId="0000009A">
      <w:pPr>
        <w:numPr>
          <w:ilvl w:val="0"/>
          <w:numId w:val="1"/>
        </w:numPr>
        <w:ind w:left="720" w:hanging="360"/>
        <w:jc w:val="both"/>
        <w:rPr/>
      </w:pPr>
      <w:r w:rsidDel="00000000" w:rsidR="00000000" w:rsidRPr="00000000">
        <w:rPr>
          <w:rtl w:val="0"/>
        </w:rPr>
        <w:t xml:space="preserve">Proteomic Analysis of the Human Olfactory Bulb.</w:t>
      </w:r>
      <w:r w:rsidDel="00000000" w:rsidR="00000000" w:rsidRPr="00000000">
        <w:rPr>
          <w:rtl w:val="0"/>
        </w:rPr>
        <w:t xml:space="preserve">  Dammalli M, Dey G, Madugundu AK, Kumar M, Rodrigues B, Gowda H, Siddaiah BG, Mahadevan A, Shankar SK, Prasad TSK. OMICS. 2017 Aug;21(8):440-453. doi: 10.1089/omi.2017.0084.</w:t>
      </w:r>
    </w:p>
    <w:p w:rsidR="00000000" w:rsidDel="00000000" w:rsidP="00000000" w:rsidRDefault="00000000" w:rsidRPr="00000000" w14:paraId="0000009B">
      <w:pPr>
        <w:numPr>
          <w:ilvl w:val="0"/>
          <w:numId w:val="1"/>
        </w:numPr>
        <w:ind w:left="720" w:hanging="360"/>
        <w:jc w:val="both"/>
        <w:rPr/>
      </w:pPr>
      <w:r w:rsidDel="00000000" w:rsidR="00000000" w:rsidRPr="00000000">
        <w:rPr>
          <w:rtl w:val="0"/>
        </w:rPr>
        <w:t xml:space="preserve">Toward Postgenomics Ophthalmology: A Proteomic Map of the Human Choroid-Retinal Pigment Epithelium Tissue.</w:t>
      </w:r>
      <w:r w:rsidDel="00000000" w:rsidR="00000000" w:rsidRPr="00000000">
        <w:rPr>
          <w:rtl w:val="0"/>
        </w:rPr>
        <w:t xml:space="preserve"> Dammalli M, Murthy KR, Pinto SM, Murthy KB, Nirujogi RS, Madugundu AK, Dey G, Nair B, Gowda H, Keshava Prasad TS. OMICS. 2017 Feb;21(2):114-122. doi: 10.1089/omi.2016.0170.</w:t>
      </w:r>
    </w:p>
    <w:p w:rsidR="00000000" w:rsidDel="00000000" w:rsidP="00000000" w:rsidRDefault="00000000" w:rsidRPr="00000000" w14:paraId="0000009C">
      <w:pPr>
        <w:numPr>
          <w:ilvl w:val="0"/>
          <w:numId w:val="1"/>
        </w:numPr>
        <w:ind w:left="720" w:hanging="360"/>
        <w:jc w:val="both"/>
        <w:rPr/>
      </w:pPr>
      <w:r w:rsidDel="00000000" w:rsidR="00000000" w:rsidRPr="00000000">
        <w:rPr>
          <w:rtl w:val="0"/>
        </w:rPr>
        <w:t xml:space="preserve">Integrating transcriptomic and proteomic data for accurate assembly and annotation of genomes.</w:t>
      </w:r>
      <w:r w:rsidDel="00000000" w:rsidR="00000000" w:rsidRPr="00000000">
        <w:rPr>
          <w:rtl w:val="0"/>
        </w:rPr>
        <w:t xml:space="preserve"> Prasad TS, Mohanty AK, Kumar M, Sreenivasamurthy SK, Dey G, Nirujogi RS, Pinto SM, Madugundu AK, Patil AH, Advani J, Manda SS, Gupta MK, Dwivedi SB, Kelkar DS, Hall B, Jiang X, Peery A, Rajagopalan P, Yelamanchi SD, Solanki HS, Raja R, Sathe GJ, Chavan S, Verma R, Patel KM, Jain AP, Syed N, Datta KK, Khan AA, Dammalli M, Jayaram S, Radhakrishnan A, Mitchell CJ, Na CH, Kumar N, Sinnis P, Sharakhov IV, Wang C, Gowda H, Tu Z, Kumar A, Pandey 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t xml:space="preserve">Conference Proceedings </w:t>
      </w:r>
    </w:p>
    <w:p w:rsidR="00000000" w:rsidDel="00000000" w:rsidP="00000000" w:rsidRDefault="00000000" w:rsidRPr="00000000" w14:paraId="0000009E">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An International Conference On Nurturing Innovative Technological Trends in Engineering BIOscience (NITTE-BIO) -2021 – oral presentation of “Integrative analysis of multi-omics data of COVID-19”</w:t>
      </w:r>
    </w:p>
    <w:p w:rsidR="00000000" w:rsidDel="00000000" w:rsidP="00000000" w:rsidRDefault="00000000" w:rsidRPr="00000000" w14:paraId="0000009F">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BENGALURU TECH SUMMIT – 2021, 17-19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November 2021. Presented poster</w:t>
      </w:r>
    </w:p>
    <w:p w:rsidR="00000000" w:rsidDel="00000000" w:rsidP="00000000" w:rsidRDefault="00000000" w:rsidRPr="00000000" w14:paraId="000000A0">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ICRAES – 2018, MS Ramaiah Institute of Technology, Bangalore, Karnataka, India</w:t>
      </w:r>
    </w:p>
    <w:p w:rsidR="00000000" w:rsidDel="00000000" w:rsidP="00000000" w:rsidRDefault="00000000" w:rsidRPr="00000000" w14:paraId="000000A1">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Annual Meeting of Proteomics Society of India, at VIT, Vellore, 2016</w:t>
      </w:r>
    </w:p>
    <w:p w:rsidR="00000000" w:rsidDel="00000000" w:rsidP="00000000" w:rsidRDefault="00000000" w:rsidRPr="00000000" w14:paraId="000000A2">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Annual Meeting of PSI &amp; International Conference held at IIT-Powai, Mumbai, 2015</w:t>
      </w:r>
    </w:p>
    <w:p w:rsidR="00000000" w:rsidDel="00000000" w:rsidP="00000000" w:rsidRDefault="00000000" w:rsidRPr="00000000" w14:paraId="000000A3">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NextGen Genomics &amp; Bioinformatics Technologies (NGBT) Conference held at National Institute of Mental Health and Science, Bangalore, 2014</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t xml:space="preserve">Book Chapters</w:t>
      </w:r>
    </w:p>
    <w:p w:rsidR="00000000" w:rsidDel="00000000" w:rsidP="00000000" w:rsidRDefault="00000000" w:rsidRPr="00000000" w14:paraId="000000A6">
      <w:pPr>
        <w:keepNext w:val="0"/>
        <w:keepLines w:val="0"/>
        <w:numPr>
          <w:ilvl w:val="0"/>
          <w:numId w:val="1"/>
        </w:numPr>
        <w:shd w:fill="ffffff" w:val="clear"/>
        <w:spacing w:before="0" w:lineRule="auto"/>
        <w:ind w:left="720" w:hanging="360"/>
        <w:rPr/>
      </w:pPr>
      <w:r w:rsidDel="00000000" w:rsidR="00000000" w:rsidRPr="00000000">
        <w:rPr>
          <w:rFonts w:ascii="Aptos" w:cs="Aptos" w:eastAsia="Aptos" w:hAnsi="Aptos"/>
          <w:color w:val="000000"/>
          <w:sz w:val="24"/>
          <w:szCs w:val="24"/>
          <w:rtl w:val="0"/>
        </w:rPr>
        <w:t xml:space="preserve">Discovery and Background of GABA in Plants. </w:t>
      </w:r>
      <w:hyperlink r:id="rId7">
        <w:r w:rsidDel="00000000" w:rsidR="00000000" w:rsidRPr="00000000">
          <w:rPr>
            <w:rFonts w:ascii="Aptos" w:cs="Aptos" w:eastAsia="Aptos" w:hAnsi="Aptos"/>
            <w:color w:val="000000"/>
            <w:sz w:val="24"/>
            <w:szCs w:val="24"/>
            <w:rtl w:val="0"/>
          </w:rPr>
          <w:t xml:space="preserve">Gubbi Vani Ishika</w:t>
        </w:r>
      </w:hyperlink>
      <w:r w:rsidDel="00000000" w:rsidR="00000000" w:rsidRPr="00000000">
        <w:rPr>
          <w:rFonts w:ascii="Aptos" w:cs="Aptos" w:eastAsia="Aptos" w:hAnsi="Aptos"/>
          <w:color w:val="000000"/>
          <w:sz w:val="24"/>
          <w:szCs w:val="24"/>
          <w:rtl w:val="0"/>
        </w:rPr>
        <w:t xml:space="preserve">, </w:t>
      </w:r>
      <w:hyperlink r:id="rId8">
        <w:r w:rsidDel="00000000" w:rsidR="00000000" w:rsidRPr="00000000">
          <w:rPr>
            <w:rFonts w:ascii="Aptos" w:cs="Aptos" w:eastAsia="Aptos" w:hAnsi="Aptos"/>
            <w:color w:val="000000"/>
            <w:sz w:val="24"/>
            <w:szCs w:val="24"/>
            <w:rtl w:val="0"/>
          </w:rPr>
          <w:t xml:space="preserve">Deepthi Puttegowda</w:t>
        </w:r>
      </w:hyperlink>
      <w:r w:rsidDel="00000000" w:rsidR="00000000" w:rsidRPr="00000000">
        <w:rPr>
          <w:rFonts w:ascii="Aptos" w:cs="Aptos" w:eastAsia="Aptos" w:hAnsi="Aptos"/>
          <w:color w:val="000000"/>
          <w:sz w:val="24"/>
          <w:szCs w:val="24"/>
          <w:rtl w:val="0"/>
        </w:rPr>
        <w:t xml:space="preserve">, </w:t>
      </w:r>
      <w:hyperlink r:id="rId9">
        <w:r w:rsidDel="00000000" w:rsidR="00000000" w:rsidRPr="00000000">
          <w:rPr>
            <w:rFonts w:ascii="Aptos" w:cs="Aptos" w:eastAsia="Aptos" w:hAnsi="Aptos"/>
            <w:color w:val="000000"/>
            <w:sz w:val="24"/>
            <w:szCs w:val="24"/>
            <w:rtl w:val="0"/>
          </w:rPr>
          <w:t xml:space="preserve">Ranjith Raj</w:t>
        </w:r>
      </w:hyperlink>
      <w:r w:rsidDel="00000000" w:rsidR="00000000" w:rsidRPr="00000000">
        <w:rPr>
          <w:rFonts w:ascii="Aptos" w:cs="Aptos" w:eastAsia="Aptos" w:hAnsi="Aptos"/>
          <w:color w:val="000000"/>
          <w:sz w:val="24"/>
          <w:szCs w:val="24"/>
          <w:rtl w:val="0"/>
        </w:rPr>
        <w:t xml:space="preserve">, </w:t>
      </w:r>
      <w:hyperlink r:id="rId10">
        <w:r w:rsidDel="00000000" w:rsidR="00000000" w:rsidRPr="00000000">
          <w:rPr>
            <w:rFonts w:ascii="Aptos" w:cs="Aptos" w:eastAsia="Aptos" w:hAnsi="Aptos"/>
            <w:color w:val="000000"/>
            <w:sz w:val="24"/>
            <w:szCs w:val="24"/>
            <w:rtl w:val="0"/>
          </w:rPr>
          <w:t xml:space="preserve">Manjunath Dammalli</w:t>
        </w:r>
      </w:hyperlink>
      <w:r w:rsidDel="00000000" w:rsidR="00000000" w:rsidRPr="00000000">
        <w:rPr>
          <w:rFonts w:ascii="Aptos" w:cs="Aptos" w:eastAsia="Aptos" w:hAnsi="Aptos"/>
          <w:color w:val="000000"/>
          <w:sz w:val="24"/>
          <w:szCs w:val="24"/>
          <w:rtl w:val="0"/>
        </w:rPr>
        <w:t xml:space="preserve">, </w:t>
      </w:r>
      <w:hyperlink r:id="rId11">
        <w:r w:rsidDel="00000000" w:rsidR="00000000" w:rsidRPr="00000000">
          <w:rPr>
            <w:rFonts w:ascii="Aptos" w:cs="Aptos" w:eastAsia="Aptos" w:hAnsi="Aptos"/>
            <w:color w:val="000000"/>
            <w:sz w:val="24"/>
            <w:szCs w:val="24"/>
            <w:rtl w:val="0"/>
          </w:rPr>
          <w:t xml:space="preserve">Ramith Ramu</w:t>
        </w:r>
      </w:hyperlink>
      <w:r w:rsidDel="00000000" w:rsidR="00000000" w:rsidRPr="00000000">
        <w:rPr>
          <w:rFonts w:ascii="Arial" w:cs="Arial" w:eastAsia="Arial" w:hAnsi="Arial"/>
          <w:color w:val="123d80"/>
          <w:sz w:val="21"/>
          <w:szCs w:val="21"/>
          <w:rtl w:val="0"/>
        </w:rPr>
        <w:t xml:space="preserve">. </w:t>
      </w:r>
      <w:r w:rsidDel="00000000" w:rsidR="00000000" w:rsidRPr="00000000">
        <w:rPr>
          <w:rFonts w:ascii="Aptos" w:cs="Aptos" w:eastAsia="Aptos" w:hAnsi="Aptos"/>
          <w:color w:val="000000"/>
          <w:sz w:val="24"/>
          <w:szCs w:val="24"/>
          <w:rtl w:val="0"/>
        </w:rPr>
        <w:t xml:space="preserve">Wiley. 10 January 2025</w:t>
      </w:r>
      <w:r w:rsidDel="00000000" w:rsidR="00000000" w:rsidRPr="00000000">
        <w:rPr>
          <w:rFonts w:ascii="Aptos" w:cs="Aptos" w:eastAsia="Aptos" w:hAnsi="Aptos"/>
          <w:color w:val="000000"/>
          <w:sz w:val="24"/>
          <w:szCs w:val="24"/>
          <w:rtl w:val="0"/>
        </w:rPr>
        <w:t xml:space="preserve"> </w:t>
      </w:r>
      <w:hyperlink r:id="rId12">
        <w:r w:rsidDel="00000000" w:rsidR="00000000" w:rsidRPr="00000000">
          <w:rPr>
            <w:rFonts w:ascii="Aptos" w:cs="Aptos" w:eastAsia="Aptos" w:hAnsi="Aptos"/>
            <w:color w:val="000000"/>
            <w:sz w:val="24"/>
            <w:szCs w:val="24"/>
            <w:rtl w:val="0"/>
          </w:rPr>
          <w:t xml:space="preserve">https://doi.org/10.1002/9781394217786.ch1</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tl w:val="0"/>
        </w:rPr>
        <w:t xml:space="preserve">Books</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tl w:val="0"/>
        </w:rPr>
        <w:t xml:space="preserve">Editorial</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t xml:space="preserve">Reviewer of Journals</w:t>
      </w:r>
    </w:p>
    <w:p w:rsidR="00000000" w:rsidDel="00000000" w:rsidP="00000000" w:rsidRDefault="00000000" w:rsidRPr="00000000" w14:paraId="000000AF">
      <w:pPr>
        <w:pStyle w:val="Heading3"/>
        <w:keepNext w:val="0"/>
        <w:keepLines w:val="0"/>
        <w:numPr>
          <w:ilvl w:val="0"/>
          <w:numId w:val="1"/>
        </w:numPr>
        <w:spacing w:after="0" w:before="0" w:line="276" w:lineRule="auto"/>
        <w:ind w:left="720" w:hanging="360"/>
        <w:jc w:val="both"/>
        <w:rPr>
          <w:rFonts w:ascii="Arial" w:cs="Arial" w:eastAsia="Arial" w:hAnsi="Arial"/>
          <w:sz w:val="22"/>
          <w:szCs w:val="22"/>
        </w:rPr>
      </w:pPr>
      <w:bookmarkStart w:colFirst="0" w:colLast="0" w:name="_heading=h.cqzyidwu1tt0" w:id="0"/>
      <w:bookmarkEnd w:id="0"/>
      <w:r w:rsidDel="00000000" w:rsidR="00000000" w:rsidRPr="00000000">
        <w:rPr>
          <w:color w:val="000000"/>
          <w:sz w:val="24"/>
          <w:szCs w:val="24"/>
          <w:rtl w:val="0"/>
        </w:rPr>
        <w:t xml:space="preserve">Reviewer, </w:t>
      </w:r>
      <w:r w:rsidDel="00000000" w:rsidR="00000000" w:rsidRPr="00000000">
        <w:rPr>
          <w:b w:val="1"/>
          <w:color w:val="000000"/>
          <w:sz w:val="24"/>
          <w:szCs w:val="24"/>
          <w:rtl w:val="0"/>
        </w:rPr>
        <w:t xml:space="preserve">OMICS: A Journal of Integrative Biology</w:t>
      </w:r>
      <w:r w:rsidDel="00000000" w:rsidR="00000000" w:rsidRPr="00000000">
        <w:rPr>
          <w:color w:val="000000"/>
          <w:sz w:val="24"/>
          <w:szCs w:val="24"/>
          <w:rtl w:val="0"/>
        </w:rPr>
        <w:t xml:space="preserve">, 2021–2022.</w:t>
      </w:r>
    </w:p>
    <w:p w:rsidR="00000000" w:rsidDel="00000000" w:rsidP="00000000" w:rsidRDefault="00000000" w:rsidRPr="00000000" w14:paraId="000000B0">
      <w:pPr>
        <w:pStyle w:val="Heading3"/>
        <w:keepNext w:val="0"/>
        <w:keepLines w:val="0"/>
        <w:numPr>
          <w:ilvl w:val="0"/>
          <w:numId w:val="1"/>
        </w:numPr>
        <w:spacing w:after="0" w:before="0" w:line="276" w:lineRule="auto"/>
        <w:ind w:left="720" w:hanging="360"/>
        <w:jc w:val="both"/>
        <w:rPr>
          <w:rFonts w:ascii="Arial" w:cs="Arial" w:eastAsia="Arial" w:hAnsi="Arial"/>
          <w:sz w:val="22"/>
          <w:szCs w:val="22"/>
        </w:rPr>
      </w:pPr>
      <w:bookmarkStart w:colFirst="0" w:colLast="0" w:name="_heading=h.cqzyidwu1tt0" w:id="0"/>
      <w:bookmarkEnd w:id="0"/>
      <w:r w:rsidDel="00000000" w:rsidR="00000000" w:rsidRPr="00000000">
        <w:rPr>
          <w:color w:val="000000"/>
          <w:sz w:val="24"/>
          <w:szCs w:val="24"/>
          <w:rtl w:val="0"/>
        </w:rPr>
        <w:t xml:space="preserve">Reviewer, </w:t>
      </w:r>
      <w:r w:rsidDel="00000000" w:rsidR="00000000" w:rsidRPr="00000000">
        <w:rPr>
          <w:b w:val="1"/>
          <w:color w:val="000000"/>
          <w:sz w:val="24"/>
          <w:szCs w:val="24"/>
          <w:rtl w:val="0"/>
        </w:rPr>
        <w:t xml:space="preserve">Chemistry and Biodiversity</w:t>
      </w:r>
      <w:r w:rsidDel="00000000" w:rsidR="00000000" w:rsidRPr="00000000">
        <w:rPr>
          <w:color w:val="000000"/>
          <w:sz w:val="24"/>
          <w:szCs w:val="24"/>
          <w:rtl w:val="0"/>
        </w:rPr>
        <w:t xml:space="preserve">, Wiley, 2021–2022.</w:t>
      </w:r>
    </w:p>
    <w:p w:rsidR="00000000" w:rsidDel="00000000" w:rsidP="00000000" w:rsidRDefault="00000000" w:rsidRPr="00000000" w14:paraId="000000B1">
      <w:pPr>
        <w:pStyle w:val="Heading3"/>
        <w:keepNext w:val="0"/>
        <w:keepLines w:val="0"/>
        <w:numPr>
          <w:ilvl w:val="0"/>
          <w:numId w:val="1"/>
        </w:numPr>
        <w:spacing w:after="0" w:before="0" w:line="276" w:lineRule="auto"/>
        <w:ind w:left="720" w:hanging="360"/>
        <w:jc w:val="both"/>
        <w:rPr>
          <w:rFonts w:ascii="Arial" w:cs="Arial" w:eastAsia="Arial" w:hAnsi="Arial"/>
          <w:sz w:val="22"/>
          <w:szCs w:val="22"/>
        </w:rPr>
      </w:pPr>
      <w:bookmarkStart w:colFirst="0" w:colLast="0" w:name="_heading=h.cqzyidwu1tt0" w:id="0"/>
      <w:bookmarkEnd w:id="0"/>
      <w:r w:rsidDel="00000000" w:rsidR="00000000" w:rsidRPr="00000000">
        <w:rPr>
          <w:color w:val="000000"/>
          <w:sz w:val="24"/>
          <w:szCs w:val="24"/>
          <w:rtl w:val="0"/>
        </w:rPr>
        <w:t xml:space="preserve">Reviewer, </w:t>
      </w:r>
      <w:r w:rsidDel="00000000" w:rsidR="00000000" w:rsidRPr="00000000">
        <w:rPr>
          <w:b w:val="1"/>
          <w:color w:val="000000"/>
          <w:sz w:val="24"/>
          <w:szCs w:val="24"/>
          <w:rtl w:val="0"/>
        </w:rPr>
        <w:t xml:space="preserve">Chemistry Africa</w:t>
      </w:r>
      <w:r w:rsidDel="00000000" w:rsidR="00000000" w:rsidRPr="00000000">
        <w:rPr>
          <w:color w:val="000000"/>
          <w:sz w:val="24"/>
          <w:szCs w:val="24"/>
          <w:rtl w:val="0"/>
        </w:rPr>
        <w:t xml:space="preserve">, Springer Nature, 2021–present.</w:t>
      </w:r>
    </w:p>
    <w:p w:rsidR="00000000" w:rsidDel="00000000" w:rsidP="00000000" w:rsidRDefault="00000000" w:rsidRPr="00000000" w14:paraId="000000B2">
      <w:pPr>
        <w:pStyle w:val="Heading3"/>
        <w:keepNext w:val="0"/>
        <w:keepLines w:val="0"/>
        <w:numPr>
          <w:ilvl w:val="0"/>
          <w:numId w:val="1"/>
        </w:numPr>
        <w:spacing w:after="0" w:before="0" w:line="276" w:lineRule="auto"/>
        <w:ind w:left="720" w:hanging="360"/>
        <w:jc w:val="both"/>
        <w:rPr>
          <w:rFonts w:ascii="Arial" w:cs="Arial" w:eastAsia="Arial" w:hAnsi="Arial"/>
          <w:sz w:val="22"/>
          <w:szCs w:val="22"/>
        </w:rPr>
      </w:pPr>
      <w:bookmarkStart w:colFirst="0" w:colLast="0" w:name="_heading=h.az9v7q7gh9sh" w:id="1"/>
      <w:bookmarkEnd w:id="1"/>
      <w:r w:rsidDel="00000000" w:rsidR="00000000" w:rsidRPr="00000000">
        <w:rPr>
          <w:color w:val="000000"/>
          <w:sz w:val="24"/>
          <w:szCs w:val="24"/>
          <w:rtl w:val="0"/>
        </w:rPr>
        <w:t xml:space="preserve">Reviewer, </w:t>
      </w:r>
      <w:r w:rsidDel="00000000" w:rsidR="00000000" w:rsidRPr="00000000">
        <w:rPr>
          <w:b w:val="1"/>
          <w:color w:val="000000"/>
          <w:sz w:val="24"/>
          <w:szCs w:val="24"/>
          <w:rtl w:val="0"/>
        </w:rPr>
        <w:t xml:space="preserve">Journal of Cell Signalling and Communication</w:t>
      </w:r>
      <w:r w:rsidDel="00000000" w:rsidR="00000000" w:rsidRPr="00000000">
        <w:rPr>
          <w:color w:val="000000"/>
          <w:sz w:val="24"/>
          <w:szCs w:val="24"/>
          <w:rtl w:val="0"/>
        </w:rPr>
        <w:t xml:space="preserve">, 2022</w:t>
      </w:r>
    </w:p>
    <w:p w:rsidR="00000000" w:rsidDel="00000000" w:rsidP="00000000" w:rsidRDefault="00000000" w:rsidRPr="00000000" w14:paraId="000000B3">
      <w:pPr>
        <w:pStyle w:val="Heading3"/>
        <w:keepNext w:val="0"/>
        <w:keepLines w:val="0"/>
        <w:spacing w:after="0" w:before="0" w:line="276" w:lineRule="auto"/>
        <w:ind w:left="720" w:firstLine="0"/>
        <w:jc w:val="both"/>
        <w:rPr>
          <w:rFonts w:ascii="Aptos" w:cs="Aptos" w:eastAsia="Aptos" w:hAnsi="Aptos"/>
          <w:b w:val="0"/>
          <w:i w:val="0"/>
          <w:smallCaps w:val="0"/>
          <w:strike w:val="0"/>
          <w:color w:val="000000"/>
          <w:sz w:val="24"/>
          <w:szCs w:val="24"/>
          <w:u w:val="none"/>
          <w:shd w:fill="auto" w:val="clear"/>
          <w:vertAlign w:val="baseline"/>
        </w:rPr>
      </w:pPr>
      <w:bookmarkStart w:colFirst="0" w:colLast="0" w:name="_heading=h.cqzyidwu1tt0" w:id="0"/>
      <w:bookmarkEnd w:id="0"/>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r>
    </w:p>
    <w:tbl>
      <w:tblPr>
        <w:tblStyle w:val="Table15"/>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B5">
            <w:pPr>
              <w:rPr/>
            </w:pPr>
            <w:r w:rsidDel="00000000" w:rsidR="00000000" w:rsidRPr="00000000">
              <w:rPr>
                <w:rtl w:val="0"/>
              </w:rPr>
              <w:t xml:space="preserve">Editor/ Reviewer of Journal </w:t>
            </w:r>
          </w:p>
        </w:tc>
      </w:tr>
    </w:tbl>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tl w:val="0"/>
        </w:rPr>
      </w:r>
    </w:p>
    <w:tbl>
      <w:tblPr>
        <w:tblStyle w:val="Table16"/>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BA">
            <w:pPr>
              <w:rPr/>
            </w:pPr>
            <w:r w:rsidDel="00000000" w:rsidR="00000000" w:rsidRPr="00000000">
              <w:rPr>
                <w:rtl w:val="0"/>
              </w:rPr>
              <w:t xml:space="preserve">Patents  </w:t>
            </w:r>
          </w:p>
        </w:tc>
      </w:tr>
    </w:tbl>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tl w:val="0"/>
        </w:rPr>
      </w:r>
    </w:p>
    <w:tbl>
      <w:tblPr>
        <w:tblStyle w:val="Table17"/>
        <w:tblpPr w:leftFromText="180" w:rightFromText="180" w:topFromText="0" w:bottomFromText="0" w:vertAnchor="text" w:horzAnchor="text" w:tblpX="0" w:tblpY="15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bfbfbf" w:val="clear"/>
          </w:tcPr>
          <w:p w:rsidR="00000000" w:rsidDel="00000000" w:rsidP="00000000" w:rsidRDefault="00000000" w:rsidRPr="00000000" w14:paraId="000000BF">
            <w:pPr>
              <w:rPr/>
            </w:pPr>
            <w:r w:rsidDel="00000000" w:rsidR="00000000" w:rsidRPr="00000000">
              <w:rPr>
                <w:rtl w:val="0"/>
              </w:rPr>
              <w:t xml:space="preserve">Invited Lectures, talks and workshops</w:t>
            </w:r>
          </w:p>
        </w:tc>
      </w:tr>
    </w:tbl>
    <w:p w:rsidR="00000000" w:rsidDel="00000000" w:rsidP="00000000" w:rsidRDefault="00000000" w:rsidRPr="00000000" w14:paraId="000000C0">
      <w:pPr>
        <w:numPr>
          <w:ilvl w:val="0"/>
          <w:numId w:val="1"/>
        </w:numPr>
        <w:spacing w:after="200" w:before="200" w:line="276" w:lineRule="auto"/>
        <w:ind w:left="720" w:hanging="360"/>
        <w:jc w:val="both"/>
        <w:rPr>
          <w:rFonts w:ascii="Arial" w:cs="Arial" w:eastAsia="Arial" w:hAnsi="Arial"/>
        </w:rPr>
      </w:pPr>
      <w:r w:rsidDel="00000000" w:rsidR="00000000" w:rsidRPr="00000000">
        <w:rPr>
          <w:rFonts w:ascii="Arial" w:cs="Arial" w:eastAsia="Arial" w:hAnsi="Arial"/>
          <w:i w:val="1"/>
          <w:rtl w:val="0"/>
        </w:rPr>
        <w:t xml:space="preserve">Proteomics: Basics, Technology and Applications. </w:t>
      </w:r>
      <w:r w:rsidDel="00000000" w:rsidR="00000000" w:rsidRPr="00000000">
        <w:rPr>
          <w:rFonts w:ascii="Arial" w:cs="Arial" w:eastAsia="Arial" w:hAnsi="Arial"/>
          <w:rtl w:val="0"/>
        </w:rPr>
        <w:t xml:space="preserve">State Level, Short-Term Faculty Programme conducted by the Department of Microbiology, Bangalore University, Bangalore - 560001, Karnataka, India. December 2020</w:t>
      </w:r>
    </w:p>
    <w:p w:rsidR="00000000" w:rsidDel="00000000" w:rsidP="00000000" w:rsidRDefault="00000000" w:rsidRPr="00000000" w14:paraId="000000C1">
      <w:pPr>
        <w:numPr>
          <w:ilvl w:val="0"/>
          <w:numId w:val="1"/>
        </w:numPr>
        <w:spacing w:after="200" w:before="200" w:line="276" w:lineRule="auto"/>
        <w:ind w:left="720" w:hanging="360"/>
        <w:jc w:val="both"/>
        <w:rPr>
          <w:rFonts w:ascii="Arial" w:cs="Arial" w:eastAsia="Arial" w:hAnsi="Arial"/>
        </w:rPr>
      </w:pPr>
      <w:r w:rsidDel="00000000" w:rsidR="00000000" w:rsidRPr="00000000">
        <w:rPr>
          <w:rFonts w:ascii="Arial" w:cs="Arial" w:eastAsia="Arial" w:hAnsi="Arial"/>
          <w:i w:val="1"/>
          <w:rtl w:val="0"/>
        </w:rPr>
        <w:t xml:space="preserve">Visualization and Analysis of Biological networks using Cytoscape</w:t>
      </w:r>
      <w:r w:rsidDel="00000000" w:rsidR="00000000" w:rsidRPr="00000000">
        <w:rPr>
          <w:rFonts w:ascii="Arial" w:cs="Arial" w:eastAsia="Arial" w:hAnsi="Arial"/>
          <w:rtl w:val="0"/>
        </w:rPr>
        <w:t xml:space="preserve">, in Biotechnology Skill Enhancement Programme (BISEP) funded by Government of India as a part of the Skill India initiative: Siddaganga Institute of Technology, Tumakuru, Karnataka. January 10 – 11, 2020</w:t>
      </w:r>
    </w:p>
    <w:p w:rsidR="00000000" w:rsidDel="00000000" w:rsidP="00000000" w:rsidRDefault="00000000" w:rsidRPr="00000000" w14:paraId="000000C2">
      <w:pPr>
        <w:numPr>
          <w:ilvl w:val="0"/>
          <w:numId w:val="1"/>
        </w:numPr>
        <w:spacing w:after="200" w:before="200" w:line="276" w:lineRule="auto"/>
        <w:ind w:left="720" w:hanging="360"/>
        <w:jc w:val="both"/>
        <w:rPr>
          <w:rFonts w:ascii="Arial" w:cs="Arial" w:eastAsia="Arial" w:hAnsi="Arial"/>
        </w:rPr>
      </w:pPr>
      <w:r w:rsidDel="00000000" w:rsidR="00000000" w:rsidRPr="00000000">
        <w:rPr>
          <w:rFonts w:ascii="Arial" w:cs="Arial" w:eastAsia="Arial" w:hAnsi="Arial"/>
          <w:i w:val="1"/>
          <w:rtl w:val="0"/>
        </w:rPr>
        <w:t xml:space="preserve">Mass Spectrometry-based peptide sequencing and its applications</w:t>
      </w:r>
      <w:r w:rsidDel="00000000" w:rsidR="00000000" w:rsidRPr="00000000">
        <w:rPr>
          <w:rFonts w:ascii="Arial" w:cs="Arial" w:eastAsia="Arial" w:hAnsi="Arial"/>
          <w:rtl w:val="0"/>
        </w:rPr>
        <w:t xml:space="preserve">. Invited lecture by the Department of Pharmacology, Sree Siddaganga College of Pharmacy, Tumakuru – 572103, Karnataka, India for post-graduate students in Pharmacology. October 2019</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C3">
      <w:pPr>
        <w:numPr>
          <w:ilvl w:val="0"/>
          <w:numId w:val="1"/>
        </w:numPr>
        <w:spacing w:after="200" w:before="200" w:line="276" w:lineRule="auto"/>
        <w:ind w:left="720" w:hanging="360"/>
        <w:jc w:val="both"/>
        <w:rPr>
          <w:rFonts w:ascii="Arial" w:cs="Arial" w:eastAsia="Arial" w:hAnsi="Arial"/>
        </w:rPr>
      </w:pPr>
      <w:r w:rsidDel="00000000" w:rsidR="00000000" w:rsidRPr="00000000">
        <w:rPr>
          <w:rFonts w:ascii="Arial" w:cs="Arial" w:eastAsia="Arial" w:hAnsi="Arial"/>
          <w:i w:val="1"/>
          <w:rtl w:val="0"/>
        </w:rPr>
        <w:t xml:space="preserve">Bioinformatics and its applications in the post-genomic era</w:t>
      </w:r>
      <w:r w:rsidDel="00000000" w:rsidR="00000000" w:rsidRPr="00000000">
        <w:rPr>
          <w:rFonts w:ascii="Arial" w:cs="Arial" w:eastAsia="Arial" w:hAnsi="Arial"/>
          <w:rtl w:val="0"/>
        </w:rPr>
        <w:t xml:space="preserve">. National Level workshop on Tools and Techniques in Biotechnology conducted by the Department of Biotechnology, Tumakuru University,Tumkur - 572103, India for undergraduate students in Biotechnology. 2018</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633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33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33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33C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33C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33C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33C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33C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33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33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33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33C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633C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633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33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33C4"/>
    <w:rPr>
      <w:i w:val="1"/>
      <w:iCs w:val="1"/>
      <w:color w:val="404040" w:themeColor="text1" w:themeTint="0000BF"/>
    </w:rPr>
  </w:style>
  <w:style w:type="paragraph" w:styleId="ListParagraph">
    <w:name w:val="List Paragraph"/>
    <w:basedOn w:val="Normal"/>
    <w:uiPriority w:val="34"/>
    <w:qFormat w:val="1"/>
    <w:rsid w:val="001633C4"/>
    <w:pPr>
      <w:ind w:left="720"/>
      <w:contextualSpacing w:val="1"/>
    </w:pPr>
  </w:style>
  <w:style w:type="character" w:styleId="IntenseEmphasis">
    <w:name w:val="Intense Emphasis"/>
    <w:basedOn w:val="DefaultParagraphFont"/>
    <w:uiPriority w:val="21"/>
    <w:qFormat w:val="1"/>
    <w:rsid w:val="001633C4"/>
    <w:rPr>
      <w:i w:val="1"/>
      <w:iCs w:val="1"/>
      <w:color w:val="0f4761" w:themeColor="accent1" w:themeShade="0000BF"/>
    </w:rPr>
  </w:style>
  <w:style w:type="paragraph" w:styleId="IntenseQuote">
    <w:name w:val="Intense Quote"/>
    <w:basedOn w:val="Normal"/>
    <w:next w:val="Normal"/>
    <w:link w:val="IntenseQuoteChar"/>
    <w:uiPriority w:val="30"/>
    <w:qFormat w:val="1"/>
    <w:rsid w:val="001633C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33C4"/>
    <w:rPr>
      <w:i w:val="1"/>
      <w:iCs w:val="1"/>
      <w:color w:val="0f4761" w:themeColor="accent1" w:themeShade="0000BF"/>
    </w:rPr>
  </w:style>
  <w:style w:type="character" w:styleId="IntenseReference">
    <w:name w:val="Intense Reference"/>
    <w:basedOn w:val="DefaultParagraphFont"/>
    <w:uiPriority w:val="32"/>
    <w:qFormat w:val="1"/>
    <w:rsid w:val="001633C4"/>
    <w:rPr>
      <w:b w:val="1"/>
      <w:bCs w:val="1"/>
      <w:smallCaps w:val="1"/>
      <w:color w:val="0f4761" w:themeColor="accent1" w:themeShade="0000BF"/>
      <w:spacing w:val="5"/>
    </w:rPr>
  </w:style>
  <w:style w:type="table" w:styleId="TableGrid">
    <w:name w:val="Table Grid"/>
    <w:basedOn w:val="TableNormal"/>
    <w:uiPriority w:val="39"/>
    <w:rsid w:val="001633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semiHidden w:val="1"/>
    <w:unhideWhenUsed w:val="1"/>
    <w:rsid w:val="00DC7505"/>
    <w:rPr>
      <w:color w:val="0000ff"/>
      <w:u w:val="single"/>
    </w:rPr>
  </w:style>
  <w:style w:type="character" w:styleId="docsum-authors" w:customStyle="1">
    <w:name w:val="docsum-authors"/>
    <w:basedOn w:val="DefaultParagraphFont"/>
    <w:rsid w:val="00DC7505"/>
  </w:style>
  <w:style w:type="character" w:styleId="docsum-journal-citation" w:customStyle="1">
    <w:name w:val="docsum-journal-citation"/>
    <w:basedOn w:val="DefaultParagraphFont"/>
    <w:rsid w:val="00DC7505"/>
  </w:style>
  <w:style w:type="character" w:styleId="Emphasis">
    <w:name w:val="Emphasis"/>
    <w:basedOn w:val="DefaultParagraphFont"/>
    <w:uiPriority w:val="20"/>
    <w:qFormat w:val="1"/>
    <w:rsid w:val="00DC7505"/>
    <w:rPr>
      <w:i w:val="1"/>
      <w:iCs w:val="1"/>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linelibrary.wiley.com/authored-by/Ramu/Ramith" TargetMode="External"/><Relationship Id="rId10" Type="http://schemas.openxmlformats.org/officeDocument/2006/relationships/hyperlink" Target="https://onlinelibrary.wiley.com/authored-by/Dammalli/Manjunath" TargetMode="External"/><Relationship Id="rId12" Type="http://schemas.openxmlformats.org/officeDocument/2006/relationships/hyperlink" Target="https://doi.org/10.1002/9781394217786.ch1" TargetMode="External"/><Relationship Id="rId9" Type="http://schemas.openxmlformats.org/officeDocument/2006/relationships/hyperlink" Target="https://onlinelibrary.wiley.com/authored-by/Raj/Ranjit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nlinelibrary.wiley.com/authored-by/Ishika/Gubbi+Vani" TargetMode="External"/><Relationship Id="rId8" Type="http://schemas.openxmlformats.org/officeDocument/2006/relationships/hyperlink" Target="https://onlinelibrary.wiley.com/authored-by/Puttegowda/Deepth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CgOCa46zqzZPdwKk7m5A2bjw==">CgMxLjAyDmguY3F6eWlkd3UxdHQwMg5oLmNxenlpZHd1MXR0MDIOaC5jcXp5aWR3dTF0dDAyDmguYXo5djdxN2doOXNoMg5oLmNxenlpZHd1MXR0MDgAciExeHVaZ2VLUzJNY2RKRUVCc0c0NmdlbGFzbmdmLUhWbXE=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2025-06-23T09:03:00Z</dcterms:created>
  <dc:creator>Sagar T S</dc:creator>
</cp:coreProperties>
</file>